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75BAD">
      <w:pPr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szCs w:val="21"/>
        </w:rPr>
        <w:t>附件</w:t>
      </w:r>
      <w:r>
        <w:rPr>
          <w:rFonts w:hint="eastAsia" w:ascii="宋体" w:hAnsi="宋体"/>
          <w:szCs w:val="21"/>
          <w:lang w:val="en-US" w:eastAsia="zh-CN"/>
        </w:rPr>
        <w:t>2</w:t>
      </w:r>
    </w:p>
    <w:p w14:paraId="6B83AA80">
      <w:pPr>
        <w:spacing w:line="560" w:lineRule="exact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eastAsia="zh-CN"/>
        </w:rPr>
        <w:t>代建（代管）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管理费支出标准表</w:t>
      </w:r>
    </w:p>
    <w:p w14:paraId="546FC4BA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单位：万元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1650"/>
        <w:gridCol w:w="5088"/>
      </w:tblGrid>
      <w:tr w14:paraId="0E694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2322" w:type="dxa"/>
            <w:noWrap w:val="0"/>
            <w:vAlign w:val="top"/>
          </w:tcPr>
          <w:p w14:paraId="4BFF067F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总投资</w:t>
            </w:r>
          </w:p>
          <w:p w14:paraId="6B670DB5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（X）</w:t>
            </w:r>
          </w:p>
        </w:tc>
        <w:tc>
          <w:tcPr>
            <w:tcW w:w="1650" w:type="dxa"/>
            <w:noWrap w:val="0"/>
            <w:vAlign w:val="top"/>
          </w:tcPr>
          <w:p w14:paraId="3D0ADCBA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费率</w:t>
            </w:r>
          </w:p>
        </w:tc>
        <w:tc>
          <w:tcPr>
            <w:tcW w:w="5088" w:type="dxa"/>
            <w:noWrap w:val="0"/>
            <w:vAlign w:val="top"/>
          </w:tcPr>
          <w:p w14:paraId="5FD1B6FB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代建（代管）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管理费</w:t>
            </w:r>
          </w:p>
        </w:tc>
      </w:tr>
      <w:tr w14:paraId="4AA5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noWrap w:val="0"/>
            <w:vAlign w:val="top"/>
          </w:tcPr>
          <w:p w14:paraId="2E8D116B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X≤10</w:t>
            </w:r>
          </w:p>
        </w:tc>
        <w:tc>
          <w:tcPr>
            <w:tcW w:w="1650" w:type="dxa"/>
            <w:noWrap w:val="0"/>
            <w:vAlign w:val="top"/>
          </w:tcPr>
          <w:p w14:paraId="5A45C0A9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固定收费</w:t>
            </w:r>
          </w:p>
        </w:tc>
        <w:tc>
          <w:tcPr>
            <w:tcW w:w="5088" w:type="dxa"/>
            <w:noWrap w:val="0"/>
            <w:vAlign w:val="top"/>
          </w:tcPr>
          <w:p w14:paraId="665B5E67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0.3</w:t>
            </w:r>
          </w:p>
        </w:tc>
      </w:tr>
      <w:tr w14:paraId="1798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noWrap w:val="0"/>
            <w:vAlign w:val="top"/>
          </w:tcPr>
          <w:p w14:paraId="1848C35C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10＜X≤100</w:t>
            </w:r>
          </w:p>
        </w:tc>
        <w:tc>
          <w:tcPr>
            <w:tcW w:w="1650" w:type="dxa"/>
            <w:noWrap w:val="0"/>
            <w:vAlign w:val="top"/>
          </w:tcPr>
          <w:p w14:paraId="13B87DE5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3%</w:t>
            </w:r>
          </w:p>
        </w:tc>
        <w:tc>
          <w:tcPr>
            <w:tcW w:w="5088" w:type="dxa"/>
            <w:noWrap w:val="0"/>
            <w:vAlign w:val="top"/>
          </w:tcPr>
          <w:p w14:paraId="4920389E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0.3+（X-10）*3%</w:t>
            </w:r>
          </w:p>
        </w:tc>
      </w:tr>
      <w:tr w14:paraId="7FCE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noWrap w:val="0"/>
            <w:vAlign w:val="top"/>
          </w:tcPr>
          <w:p w14:paraId="79563A11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100＜X≤400</w:t>
            </w:r>
          </w:p>
        </w:tc>
        <w:tc>
          <w:tcPr>
            <w:tcW w:w="1650" w:type="dxa"/>
            <w:noWrap w:val="0"/>
            <w:vAlign w:val="top"/>
          </w:tcPr>
          <w:p w14:paraId="31B626C7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2.6%</w:t>
            </w:r>
          </w:p>
        </w:tc>
        <w:tc>
          <w:tcPr>
            <w:tcW w:w="5088" w:type="dxa"/>
            <w:noWrap w:val="0"/>
            <w:vAlign w:val="top"/>
          </w:tcPr>
          <w:p w14:paraId="0B68ADE4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3+（X-100）*2.6%</w:t>
            </w:r>
          </w:p>
        </w:tc>
      </w:tr>
      <w:tr w14:paraId="31351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22" w:type="dxa"/>
            <w:noWrap w:val="0"/>
            <w:vAlign w:val="top"/>
          </w:tcPr>
          <w:p w14:paraId="5AB63BD3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400＜X≤1000</w:t>
            </w:r>
          </w:p>
        </w:tc>
        <w:tc>
          <w:tcPr>
            <w:tcW w:w="1650" w:type="dxa"/>
            <w:noWrap w:val="0"/>
            <w:vAlign w:val="top"/>
          </w:tcPr>
          <w:p w14:paraId="0D2E412B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2.25%</w:t>
            </w:r>
          </w:p>
        </w:tc>
        <w:tc>
          <w:tcPr>
            <w:tcW w:w="5088" w:type="dxa"/>
            <w:noWrap w:val="0"/>
            <w:vAlign w:val="top"/>
          </w:tcPr>
          <w:p w14:paraId="166EF09A"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10.8+（X-400）*2.25%</w:t>
            </w:r>
          </w:p>
        </w:tc>
      </w:tr>
    </w:tbl>
    <w:p w14:paraId="6D8B1B65">
      <w:pPr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管理费的取费基数为项目立项总投资，包括建安工程费用、工程建设其他费用及预备费。非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单位负责的部分项目建设内容，如征地动拆迁等投资，不计入取费基数。</w:t>
      </w:r>
    </w:p>
    <w:p w14:paraId="2EB99A6B">
      <w:pPr>
        <w:numPr>
          <w:ilvl w:val="0"/>
          <w:numId w:val="1"/>
        </w:numPr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管理费的具体取费试行累进计算，公式为：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管理费测算金额=本档最低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管理费+（计费基数-本档最低工程投资额）*费率；批复投资在10万元以下项目，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代建（代管）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管理费均按0.3万元计取。</w:t>
      </w:r>
    </w:p>
    <w:p w14:paraId="169ED0B6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1000万元以上项目参照《上海市市级建设财力项目代理建设管理办法》（沪发改规范〔2025〕12号）规定计取。</w:t>
      </w:r>
    </w:p>
    <w:p w14:paraId="5137FA4B">
      <w:pPr>
        <w:rPr>
          <w:highlight w:val="none"/>
        </w:rPr>
      </w:pPr>
    </w:p>
    <w:p w14:paraId="0412BD63">
      <w:pPr>
        <w:adjustRightInd w:val="0"/>
        <w:spacing w:line="560" w:lineRule="exact"/>
        <w:ind w:firstLine="6080" w:firstLineChars="1900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386CFF12">
      <w:pPr>
        <w:adjustRightInd w:val="0"/>
        <w:spacing w:line="560" w:lineRule="exact"/>
        <w:ind w:firstLine="6080" w:firstLineChars="1900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06A68114">
      <w:pPr>
        <w:adjustRightInd w:val="0"/>
        <w:spacing w:line="560" w:lineRule="exact"/>
        <w:ind w:firstLine="6080" w:firstLineChars="1900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1DE2AC54">
      <w:pPr>
        <w:adjustRightInd w:val="0"/>
        <w:spacing w:line="560" w:lineRule="exact"/>
        <w:ind w:firstLine="6080" w:firstLineChars="1900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5D5A2630">
      <w:pPr>
        <w:adjustRightInd w:val="0"/>
        <w:spacing w:line="560" w:lineRule="exact"/>
        <w:rPr>
          <w:rFonts w:hint="eastAsia" w:ascii="仿宋" w:hAnsi="仿宋" w:eastAsia="仿宋" w:cs="仿宋"/>
          <w:kern w:val="0"/>
          <w:sz w:val="32"/>
          <w:szCs w:val="32"/>
        </w:rPr>
      </w:pPr>
    </w:p>
    <w:p w14:paraId="493EB5FA">
      <w:pPr>
        <w:jc w:val="left"/>
        <w:rPr>
          <w:rFonts w:hint="eastAsia" w:ascii="宋体" w:hAnsi="宋体"/>
          <w:szCs w:val="21"/>
        </w:rPr>
      </w:pPr>
    </w:p>
    <w:p w14:paraId="59D42E55">
      <w:pPr>
        <w:jc w:val="left"/>
        <w:rPr>
          <w:rFonts w:hint="eastAsia" w:ascii="宋体" w:hAnsi="宋体"/>
          <w:szCs w:val="21"/>
        </w:rPr>
      </w:pPr>
    </w:p>
    <w:p w14:paraId="1D78035E">
      <w:pPr>
        <w:jc w:val="both"/>
        <w:rPr>
          <w:rFonts w:hint="eastAsia" w:ascii="宋体" w:hAnsi="宋体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D002D"/>
    <w:multiLevelType w:val="singleLevel"/>
    <w:tmpl w:val="0A4D002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52D2438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